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77D8E99" w:rsidR="006E5D65" w:rsidRPr="00E960BB" w:rsidRDefault="00997F14" w:rsidP="5D93EF40">
      <w:pPr>
        <w:spacing w:line="240" w:lineRule="auto"/>
        <w:jc w:val="right"/>
        <w:rPr>
          <w:rFonts w:ascii="Corbel" w:hAnsi="Corbel"/>
          <w:i/>
          <w:iCs/>
        </w:rPr>
      </w:pPr>
      <w:r w:rsidRPr="5D93EF4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D93EF40">
        <w:rPr>
          <w:rFonts w:ascii="Corbel" w:hAnsi="Corbel"/>
          <w:i/>
          <w:iCs/>
        </w:rPr>
        <w:t xml:space="preserve">Załącznik nr </w:t>
      </w:r>
      <w:r w:rsidR="006F31E2" w:rsidRPr="5D93EF40">
        <w:rPr>
          <w:rFonts w:ascii="Corbel" w:hAnsi="Corbel"/>
          <w:i/>
          <w:iCs/>
        </w:rPr>
        <w:t>1.5</w:t>
      </w:r>
      <w:r w:rsidR="00D8678B" w:rsidRPr="5D93EF40">
        <w:rPr>
          <w:rFonts w:ascii="Corbel" w:hAnsi="Corbel"/>
          <w:i/>
          <w:iCs/>
        </w:rPr>
        <w:t xml:space="preserve"> do Zarządzenia</w:t>
      </w:r>
      <w:r w:rsidR="002A22BF" w:rsidRPr="5D93EF40">
        <w:rPr>
          <w:rFonts w:ascii="Corbel" w:hAnsi="Corbel"/>
          <w:i/>
          <w:iCs/>
        </w:rPr>
        <w:t xml:space="preserve"> Rektora UR </w:t>
      </w:r>
      <w:r w:rsidR="00CD6897" w:rsidRPr="5D93EF40">
        <w:rPr>
          <w:rFonts w:ascii="Corbel" w:hAnsi="Corbel"/>
          <w:i/>
          <w:iCs/>
        </w:rPr>
        <w:t xml:space="preserve">nr </w:t>
      </w:r>
      <w:r w:rsidR="00F17567" w:rsidRPr="5D93EF40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8ACC95" w14:textId="5C091EF8" w:rsidR="0085747A" w:rsidRDefault="0071620A" w:rsidP="5D93EF40">
      <w:pPr>
        <w:pStyle w:val="HTML-wstpniesformatowany"/>
        <w:ind w:left="1416" w:firstLine="708"/>
        <w:rPr>
          <w:rFonts w:ascii="Corbel" w:hAnsi="Corbel"/>
        </w:rPr>
      </w:pPr>
      <w:r w:rsidRPr="4752035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752035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A66EF" w:rsidRPr="008A66EF">
        <w:rPr>
          <w:rFonts w:ascii="Corbel" w:eastAsia="Times New Roman" w:hAnsi="Corbel" w:cs="Courier New"/>
          <w:sz w:val="24"/>
          <w:szCs w:val="24"/>
          <w:lang w:eastAsia="pl-PL"/>
        </w:rPr>
        <w:t>202</w:t>
      </w:r>
      <w:r w:rsidR="008C5114">
        <w:rPr>
          <w:rFonts w:ascii="Corbel" w:eastAsia="Times New Roman" w:hAnsi="Corbel" w:cs="Courier New"/>
          <w:sz w:val="24"/>
          <w:szCs w:val="24"/>
          <w:lang w:eastAsia="pl-PL"/>
        </w:rPr>
        <w:t>3</w:t>
      </w:r>
      <w:r w:rsidR="008A66EF" w:rsidRPr="008A66EF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8C5114">
        <w:rPr>
          <w:rFonts w:ascii="Corbel" w:eastAsia="Times New Roman" w:hAnsi="Corbel" w:cs="Courier New"/>
          <w:sz w:val="24"/>
          <w:szCs w:val="24"/>
          <w:lang w:eastAsia="pl-PL"/>
        </w:rPr>
        <w:t>4</w:t>
      </w:r>
      <w:r w:rsidR="008A66EF" w:rsidRPr="008A66EF">
        <w:rPr>
          <w:rFonts w:ascii="Corbel" w:eastAsia="Times New Roman" w:hAnsi="Corbel" w:cs="Courier New"/>
          <w:sz w:val="24"/>
          <w:szCs w:val="24"/>
          <w:lang w:eastAsia="pl-PL"/>
        </w:rPr>
        <w:t xml:space="preserve"> – 202</w:t>
      </w:r>
      <w:r w:rsidR="008C5114">
        <w:rPr>
          <w:rFonts w:ascii="Corbel" w:eastAsia="Times New Roman" w:hAnsi="Corbel" w:cs="Courier New"/>
          <w:sz w:val="24"/>
          <w:szCs w:val="24"/>
          <w:lang w:eastAsia="pl-PL"/>
        </w:rPr>
        <w:t>5</w:t>
      </w:r>
      <w:r w:rsidR="008A66EF" w:rsidRPr="008A66EF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8C5114">
        <w:rPr>
          <w:rFonts w:ascii="Corbel" w:eastAsia="Times New Roman" w:hAnsi="Corbel" w:cs="Courier New"/>
          <w:sz w:val="24"/>
          <w:szCs w:val="24"/>
          <w:lang w:eastAsia="pl-PL"/>
        </w:rPr>
        <w:t>6</w:t>
      </w:r>
    </w:p>
    <w:p w14:paraId="744F7526" w14:textId="59F66665" w:rsidR="0085747A" w:rsidRDefault="0085747A" w:rsidP="008A66EF">
      <w:pPr>
        <w:pStyle w:val="HTML-wstpniesformatowany"/>
        <w:ind w:left="4248" w:firstLine="714"/>
        <w:rPr>
          <w:rFonts w:ascii="Corbel" w:hAnsi="Corbel"/>
        </w:rPr>
      </w:pPr>
      <w:r w:rsidRPr="5D93EF40">
        <w:rPr>
          <w:rFonts w:ascii="Corbel" w:hAnsi="Corbel"/>
          <w:i/>
          <w:iCs/>
          <w:sz w:val="24"/>
          <w:szCs w:val="24"/>
        </w:rPr>
        <w:t>(skrajne daty</w:t>
      </w:r>
      <w:r w:rsidRPr="5D93EF40">
        <w:rPr>
          <w:rFonts w:ascii="Corbel" w:hAnsi="Corbel"/>
          <w:sz w:val="24"/>
          <w:szCs w:val="24"/>
        </w:rPr>
        <w:t>)</w:t>
      </w:r>
    </w:p>
    <w:p w14:paraId="672A6659" w14:textId="77777777" w:rsidR="00D93522" w:rsidRDefault="00D9352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757718" w14:textId="45E3C966" w:rsidR="00445970" w:rsidRPr="00EA4832" w:rsidRDefault="00445970" w:rsidP="00D93522">
      <w:pPr>
        <w:pStyle w:val="HTML-wstpniesformatowany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D93522">
        <w:rPr>
          <w:rFonts w:ascii="Corbel" w:hAnsi="Corbel"/>
        </w:rPr>
        <w:t xml:space="preserve">Rok akademicki </w:t>
      </w:r>
      <w:r w:rsidR="00D93522" w:rsidRPr="003E6378">
        <w:rPr>
          <w:rFonts w:ascii="Corbel" w:eastAsia="Times New Roman" w:hAnsi="Corbel" w:cs="Courier New"/>
          <w:sz w:val="24"/>
          <w:szCs w:val="24"/>
          <w:lang w:eastAsia="pl-PL"/>
        </w:rPr>
        <w:t>202</w:t>
      </w:r>
      <w:r w:rsidR="008C5114">
        <w:rPr>
          <w:rFonts w:ascii="Corbel" w:eastAsia="Times New Roman" w:hAnsi="Corbel" w:cs="Courier New"/>
          <w:sz w:val="24"/>
          <w:szCs w:val="24"/>
          <w:lang w:eastAsia="pl-PL"/>
        </w:rPr>
        <w:t>4</w:t>
      </w:r>
      <w:r w:rsidR="00D93522" w:rsidRPr="003E6378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8C5114">
        <w:rPr>
          <w:rFonts w:ascii="Corbel" w:eastAsia="Times New Roman" w:hAnsi="Corbel" w:cs="Courier New"/>
          <w:sz w:val="24"/>
          <w:szCs w:val="24"/>
          <w:lang w:eastAsia="pl-PL"/>
        </w:rPr>
        <w:t>5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2BA7B6" w14:textId="77777777" w:rsidTr="5D93EF4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CE5533" w14:textId="77777777" w:rsidR="0085747A" w:rsidRPr="003E6378" w:rsidRDefault="00B2602D" w:rsidP="5D93E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5D93EF40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Instytucje U</w:t>
            </w:r>
            <w:r w:rsidR="003E6378" w:rsidRPr="5D93EF40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nii Europejskiej</w:t>
            </w:r>
          </w:p>
        </w:tc>
      </w:tr>
      <w:tr w:rsidR="0085747A" w:rsidRPr="009C54AE" w14:paraId="6793E9E4" w14:textId="77777777" w:rsidTr="5D93EF4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3355C7" w14:textId="77777777" w:rsidR="0085747A" w:rsidRPr="003E6378" w:rsidRDefault="003E6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14:paraId="5C0172EC" w14:textId="77777777" w:rsidTr="5D93EF4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9C54AE" w14:paraId="52EF737E" w14:textId="77777777" w:rsidTr="5D93EF4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6A6FFCF1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5D93EF40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9C54AE" w14:paraId="58415E7B" w14:textId="77777777" w:rsidTr="5D93EF4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9C54AE" w14:paraId="11529C0C" w14:textId="77777777" w:rsidTr="5D93EF40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9C54AE" w14:paraId="020B26A7" w14:textId="77777777" w:rsidTr="5D93EF40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3E6378" w:rsidRDefault="003E6378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9C54AE" w14:paraId="5C70B2EB" w14:textId="77777777" w:rsidTr="5D93EF40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9C54AE" w14:paraId="3CA2651D" w14:textId="77777777" w:rsidTr="5D93EF40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48181996" w:rsidR="0085747A" w:rsidRPr="003E6378" w:rsidRDefault="00B2602D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8A66EF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IV</w:t>
            </w:r>
          </w:p>
        </w:tc>
      </w:tr>
      <w:tr w:rsidR="0085747A" w:rsidRPr="009C54AE" w14:paraId="69EA273B" w14:textId="77777777" w:rsidTr="5D93EF40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3E6378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3E6378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5D93EF40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3E6378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3E6378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43895" w14:textId="77777777" w:rsidTr="5D93EF40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3E6378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9C54AE" w14:paraId="13F6FA47" w14:textId="77777777" w:rsidTr="5D93EF40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DDD793" w14:textId="77777777" w:rsidR="0085747A" w:rsidRPr="003E6378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Anna Marcisz – Dynia, mgr Sabina Kubas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65"/>
        <w:gridCol w:w="960"/>
        <w:gridCol w:w="720"/>
        <w:gridCol w:w="900"/>
        <w:gridCol w:w="660"/>
        <w:gridCol w:w="960"/>
        <w:gridCol w:w="1058"/>
        <w:gridCol w:w="1505"/>
      </w:tblGrid>
      <w:tr w:rsidR="00015B8F" w:rsidRPr="009C54AE" w14:paraId="4A00F406" w14:textId="77777777" w:rsidTr="5D93EF40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9C692D6" w14:textId="77777777" w:rsidTr="5D93EF40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B260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3E63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260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3E63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478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D15EE9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5EE9">
        <w:rPr>
          <w:rFonts w:ascii="Segoe UI Symbol" w:eastAsia="MS Gothic" w:hAnsi="Segoe UI Symbol" w:cs="Segoe UI Symbol"/>
          <w:b w:val="0"/>
          <w:color w:val="000000"/>
          <w:szCs w:val="24"/>
        </w:rPr>
        <w:t>✓</w:t>
      </w:r>
      <w:r w:rsidR="0085747A" w:rsidRPr="00D15EE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D15EE9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5EE9"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D15EE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9DE01D1" w:rsidR="00E22FBC" w:rsidRPr="009C54AE" w:rsidRDefault="00E22FBC" w:rsidP="475203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752035C">
        <w:rPr>
          <w:rFonts w:ascii="Corbel" w:hAnsi="Corbel"/>
          <w:smallCaps w:val="0"/>
        </w:rPr>
        <w:t xml:space="preserve">1.3 </w:t>
      </w:r>
      <w:r>
        <w:tab/>
      </w:r>
      <w:r w:rsidRPr="4752035C">
        <w:rPr>
          <w:rFonts w:ascii="Corbel" w:hAnsi="Corbel"/>
          <w:smallCaps w:val="0"/>
        </w:rPr>
        <w:t>For</w:t>
      </w:r>
      <w:r w:rsidR="00445970" w:rsidRPr="4752035C">
        <w:rPr>
          <w:rFonts w:ascii="Corbel" w:hAnsi="Corbel"/>
          <w:smallCaps w:val="0"/>
        </w:rPr>
        <w:t>ma zaliczenia przedmiotu</w:t>
      </w:r>
      <w:r w:rsidRPr="4752035C">
        <w:rPr>
          <w:rFonts w:ascii="Corbel" w:hAnsi="Corbel"/>
          <w:smallCaps w:val="0"/>
        </w:rPr>
        <w:t xml:space="preserve"> (z toku) </w:t>
      </w:r>
      <w:r w:rsidRPr="4752035C">
        <w:rPr>
          <w:rFonts w:ascii="Corbel" w:hAnsi="Corbel"/>
          <w:b w:val="0"/>
          <w:smallCaps w:val="0"/>
        </w:rPr>
        <w:t>(egzamin, zaliczenie z oceną, zaliczenie bez oceny)</w:t>
      </w:r>
    </w:p>
    <w:p w14:paraId="7E6B9003" w14:textId="77777777" w:rsidR="00E1378B" w:rsidRPr="00D15EE9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wykład – egzamin - test</w:t>
      </w:r>
    </w:p>
    <w:p w14:paraId="23602369" w14:textId="77777777" w:rsidR="00E1378B" w:rsidRPr="00D15EE9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ćwiczenia- zaliczenie z oceną - test</w:t>
      </w:r>
    </w:p>
    <w:p w14:paraId="3CF2D8B6" w14:textId="77777777" w:rsidR="00E1378B" w:rsidRPr="00D15EE9" w:rsidRDefault="00E1378B" w:rsidP="00E1378B">
      <w:pPr>
        <w:spacing w:after="0" w:line="240" w:lineRule="auto"/>
        <w:ind w:left="720"/>
        <w:contextualSpacing/>
        <w:jc w:val="both"/>
        <w:rPr>
          <w:rFonts w:ascii="Corbel" w:eastAsia="Cambria" w:hAnsi="Corbel"/>
          <w:sz w:val="24"/>
        </w:rPr>
      </w:pPr>
    </w:p>
    <w:p w14:paraId="3D6CEA46" w14:textId="7339ACC8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6F32684D" w14:textId="70062DDA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29495530" w14:textId="46EA05DF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74AD80E8" w14:textId="4B3FF84A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D93EF40">
        <w:rPr>
          <w:rFonts w:ascii="Corbel" w:hAnsi="Corbel"/>
        </w:rPr>
        <w:t xml:space="preserve">2.Wymagania wstępne </w:t>
      </w:r>
    </w:p>
    <w:p w14:paraId="6760AE79" w14:textId="1BFDC733" w:rsidR="5D93EF40" w:rsidRDefault="5D93EF40" w:rsidP="5D93EF4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5EE9" w14:paraId="65F884EF" w14:textId="77777777" w:rsidTr="00745302">
        <w:tc>
          <w:tcPr>
            <w:tcW w:w="9670" w:type="dxa"/>
          </w:tcPr>
          <w:p w14:paraId="483D41B7" w14:textId="77777777" w:rsidR="0085747A" w:rsidRPr="00D15EE9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D15EE9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58B1BE8" w:rsidR="0085747A" w:rsidRPr="00C05F44" w:rsidRDefault="0071620A" w:rsidP="4752035C">
      <w:pPr>
        <w:pStyle w:val="Punktygwne"/>
        <w:spacing w:before="0" w:after="0"/>
        <w:rPr>
          <w:rFonts w:ascii="Corbel" w:hAnsi="Corbel"/>
        </w:rPr>
      </w:pPr>
      <w:r w:rsidRPr="4752035C">
        <w:rPr>
          <w:rFonts w:ascii="Corbel" w:hAnsi="Corbel"/>
        </w:rPr>
        <w:t>3.</w:t>
      </w:r>
      <w:r w:rsidR="0085747A" w:rsidRPr="4752035C">
        <w:rPr>
          <w:rFonts w:ascii="Corbel" w:hAnsi="Corbel"/>
        </w:rPr>
        <w:t xml:space="preserve"> </w:t>
      </w:r>
      <w:r w:rsidR="00A84C85" w:rsidRPr="4752035C">
        <w:rPr>
          <w:rFonts w:ascii="Corbel" w:hAnsi="Corbel"/>
        </w:rPr>
        <w:t>cele, efekty uczenia się</w:t>
      </w:r>
      <w:r w:rsidR="0085747A" w:rsidRPr="4752035C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B2602D" w:rsidRPr="00632618" w14:paraId="2540DA42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4BACB2D2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661FB5D">
              <w:rPr>
                <w:rFonts w:ascii="Corbel" w:hAnsi="Corbel"/>
                <w:b w:val="0"/>
                <w:sz w:val="24"/>
                <w:szCs w:val="24"/>
              </w:rPr>
              <w:t>Przedstawienie historii integracji europejskiej na podstawie wybranych traktatów o</w:t>
            </w:r>
            <w:r w:rsidR="47F57A7D" w:rsidRPr="1661FB5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661FB5D">
              <w:rPr>
                <w:rFonts w:ascii="Corbel" w:hAnsi="Corbel"/>
                <w:b w:val="0"/>
                <w:sz w:val="24"/>
                <w:szCs w:val="24"/>
              </w:rPr>
              <w:t xml:space="preserve">charakterze założycielskim, modyfikującym i akcesyjnym. </w:t>
            </w:r>
          </w:p>
        </w:tc>
      </w:tr>
      <w:tr w:rsidR="00B2602D" w:rsidRPr="00632618" w14:paraId="47D41995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B2602D" w:rsidRPr="00B2602D" w:rsidRDefault="00B2602D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34D8BCF8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>Omówienie charakteru prawnego Wspólnoty Europejskiej oraz Unii Europejskiej na podstawie wybranego orzecznictwa Trybunału Sprawiedliwości Unii Europejskiej.</w:t>
            </w:r>
          </w:p>
        </w:tc>
      </w:tr>
      <w:tr w:rsidR="00B2602D" w:rsidRPr="00632618" w14:paraId="2A27716C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077418DD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Omówienie celów UE i podziału kompetencji pomiędzy Unię Europejską a państwa członkowskie UE. </w:t>
            </w:r>
          </w:p>
        </w:tc>
      </w:tr>
      <w:tr w:rsidR="00B2602D" w:rsidRPr="00632618" w14:paraId="5E9F77AF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52EDD2E2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Omówienie wartości na których opiera się Unia Europejska (art. 2 TUE) oraz konsekwencji naruszenia tych wartości (procedura z art. 7 TUE). </w:t>
            </w:r>
          </w:p>
        </w:tc>
      </w:tr>
      <w:tr w:rsidR="00B2602D" w:rsidRPr="00632618" w14:paraId="7F07B9D9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358F16F7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instytucji Unii Europejskiej ze szczególnym uwzględnieniem ich roli w tworzeniu i stosowaniu prawa UE. </w:t>
            </w:r>
          </w:p>
        </w:tc>
      </w:tr>
      <w:tr w:rsidR="00B2602D" w:rsidRPr="00632618" w14:paraId="6CFE0974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1D537A20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Przedstawienie zasad stosowania prawa UE na płaszczyźnie krajowej. </w:t>
            </w:r>
          </w:p>
        </w:tc>
      </w:tr>
      <w:tr w:rsidR="00B2602D" w:rsidRPr="00632618" w14:paraId="1F28385F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90A8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A63D" w14:textId="77777777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>Charakterystyka elementów sądowej kontroli przestrzegania prawa w UE: postępowanie przeciwko państwu członkowskiemu o naruszenie zobowiązania ciążącego na nim na mocy traktatów, skarga na nieważność aktu prawa pochodnego, skarga na bezczynność instytucji, skarga odszkodowawcza.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8CE6F9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5D93EF40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02D" w:rsidRPr="00632618" w14:paraId="3F661A66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D47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jaką rolę spełnia prawo Unii Europejskiej oraz jakie jest miejsce tego prawa w porządku ustrojowym Rzeczypospolitej Polskiej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99A" w14:textId="77777777" w:rsidR="00C27B41" w:rsidRDefault="00C27B41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0AD3A7D1" w14:textId="77777777" w:rsidR="00C27B41" w:rsidRPr="00B2602D" w:rsidRDefault="00C27B41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B2602D" w:rsidRPr="00632618" w14:paraId="0CD347C2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0AD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różnice pomiędzy prawem Unii Europejskiej a prawem międzynarodowym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2F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C27B4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1355498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B2602D" w:rsidRPr="00632618" w14:paraId="5D3923B8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63C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główne instytucje Unii Europejskiej oraz potrafi wskazać ich rolę w procesie decyzyjnym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C0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C27B4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1A75E0E" w14:textId="77777777" w:rsidR="00C27B41" w:rsidRP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2602D" w:rsidRPr="00632618" w14:paraId="7CFB506E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720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Potrafi s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>charakteryz</w:t>
            </w:r>
            <w:r w:rsidRPr="5D93EF40">
              <w:rPr>
                <w:rFonts w:ascii="Corbel" w:hAnsi="Corbel"/>
                <w:b w:val="0"/>
                <w:smallCaps w:val="0"/>
              </w:rPr>
              <w:t>ować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zagadnienia poszczególnych działów prawa Unii Europejskiej oraz potrafi formułować własne wnioski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27F" w14:textId="77777777" w:rsidR="00B2602D" w:rsidRDefault="00B2602D" w:rsidP="00FB298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E1AB1AD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</w:tc>
      </w:tr>
      <w:tr w:rsidR="00B2602D" w:rsidRPr="00632618" w14:paraId="5ABEFBB8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B298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5F79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 xml:space="preserve">Jest gotów 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>oceni</w:t>
            </w:r>
            <w:r w:rsidRPr="5D93EF40">
              <w:rPr>
                <w:rFonts w:ascii="Corbel" w:hAnsi="Corbel"/>
                <w:b w:val="0"/>
                <w:smallCaps w:val="0"/>
              </w:rPr>
              <w:t>ć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stan faktyczny w świetle odpowiednich regulacji prawa Unii Europejskiej oraz wybranego orzecznictwa Trybunału Sprawiedliwości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2602D" w:rsidRPr="00632618" w14:paraId="7F3F0641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FB2988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08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Jest gotów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dokonywa</w:t>
            </w:r>
            <w:r w:rsidRPr="5D93EF40">
              <w:rPr>
                <w:rFonts w:ascii="Corbel" w:hAnsi="Corbel"/>
                <w:b w:val="0"/>
                <w:smallCaps w:val="0"/>
              </w:rPr>
              <w:t>ć subsumpcji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4C3" w14:textId="77777777" w:rsidR="00214BE8" w:rsidRPr="00B2602D" w:rsidRDefault="00214BE8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378">
              <w:rPr>
                <w:rFonts w:ascii="Corbel" w:hAnsi="Corbel"/>
                <w:b w:val="0"/>
                <w:smallCaps w:val="0"/>
                <w:szCs w:val="24"/>
              </w:rPr>
              <w:t>_U07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BB9E253" w14:textId="77777777" w:rsidR="00B35F46" w:rsidRPr="009C54AE" w:rsidRDefault="00B35F46" w:rsidP="00B35F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B2988" w:rsidRPr="00D15EE9" w14:paraId="3A3AF27E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EA" w14:textId="77777777" w:rsidR="00FB2988" w:rsidRPr="00D15EE9" w:rsidRDefault="6022D394" w:rsidP="5D93E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FB2988" w:rsidRPr="00D15EE9" w14:paraId="0BA828AF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AD2" w14:textId="7777777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w:rsidR="00FB2988" w:rsidRPr="00D15EE9" w14:paraId="68A4D6A3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43D" w14:textId="7777777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Parlamentu Europejskiego, jego składu osobowego i statusu członków, sposobu powoływania deputowanych, struktury wewnętrznej, organizacji pracy, trybu podejmowania decyzji, realizowanych funkcji i zadań</w:t>
            </w:r>
          </w:p>
        </w:tc>
      </w:tr>
      <w:tr w:rsidR="00FB2988" w:rsidRPr="00D15EE9" w14:paraId="01775ECE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ABF" w14:textId="17BF338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w:rsidR="00FB2988" w:rsidRPr="00D15EE9" w14:paraId="22805CE6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77F" w14:textId="676D4F6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w:rsidR="00FB2988" w:rsidRPr="00D15EE9" w14:paraId="0C56FC1D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E4" w14:textId="7777777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w:rsidR="00FB2988" w:rsidRPr="00D15EE9" w14:paraId="40A55E5A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FF5" w14:textId="7147EA10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661FB5D">
              <w:rPr>
                <w:rFonts w:ascii="Corbel" w:hAnsi="Corbel"/>
                <w:sz w:val="24"/>
                <w:szCs w:val="24"/>
              </w:rPr>
              <w:t>Charakterystyka Trybunału Sprawiedliwości UE, sposobu powoływania sędziów oraz rzeczników generalnych, posiadanych przywilejów oraz immunitetów, a także składów i</w:t>
            </w:r>
            <w:r w:rsidR="11D8256B" w:rsidRPr="1661FB5D">
              <w:rPr>
                <w:rFonts w:ascii="Corbel" w:hAnsi="Corbel"/>
                <w:sz w:val="24"/>
                <w:szCs w:val="24"/>
              </w:rPr>
              <w:t xml:space="preserve"> </w:t>
            </w:r>
            <w:r w:rsidRPr="1661FB5D">
              <w:rPr>
                <w:rFonts w:ascii="Corbel" w:hAnsi="Corbel"/>
                <w:sz w:val="24"/>
                <w:szCs w:val="24"/>
              </w:rPr>
              <w:t>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w:rsidR="00FB2988" w:rsidRPr="00D15EE9" w14:paraId="0F449C69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A7D7" w14:textId="77777777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w:rsidR="00FB2988" w:rsidRPr="00D15EE9" w14:paraId="4E78AE40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93C" w14:textId="77777777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w:rsidR="00FB2988" w:rsidRPr="00D15EE9" w14:paraId="06B2EB11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A1E" w14:textId="73376982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661FB5D">
              <w:rPr>
                <w:rFonts w:ascii="Corbel" w:hAnsi="Corbel"/>
                <w:sz w:val="24"/>
                <w:szCs w:val="24"/>
              </w:rPr>
              <w:t>Charakterystyka prawa pierwotnego UE, przedstawienie przedmiotowego zakresu traktatów założycielskich, rewizyjnych oraz akcesyjnych, procedury ich zawierania oraz warunków wejścia w życie; przedstawienie roli zasad ogólnych w procesie tworzenia i stosowania prawa UE oraz konsekwencji ich naruszenia; omówienie miejsca i znaczenia Karty Praw Podstawowych w</w:t>
            </w:r>
            <w:r w:rsidR="699530E2" w:rsidRPr="1661FB5D">
              <w:rPr>
                <w:rFonts w:ascii="Corbel" w:hAnsi="Corbel"/>
                <w:sz w:val="24"/>
                <w:szCs w:val="24"/>
              </w:rPr>
              <w:t xml:space="preserve"> </w:t>
            </w:r>
            <w:r w:rsidRPr="1661FB5D">
              <w:rPr>
                <w:rFonts w:ascii="Corbel" w:hAnsi="Corbel"/>
                <w:sz w:val="24"/>
                <w:szCs w:val="24"/>
              </w:rPr>
              <w:t>systemie prawa pierwotnego UE</w:t>
            </w:r>
          </w:p>
        </w:tc>
      </w:tr>
      <w:tr w:rsidR="00FB2988" w:rsidRPr="00D15EE9" w14:paraId="34D98AB9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D08B" w14:textId="700754F7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lastRenderedPageBreak/>
              <w:t>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w14:paraId="52E5622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7547A0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988" w:rsidRPr="00D15EE9" w14:paraId="587EA2A8" w14:textId="77777777" w:rsidTr="5D93EF40">
        <w:tc>
          <w:tcPr>
            <w:tcW w:w="9639" w:type="dxa"/>
          </w:tcPr>
          <w:p w14:paraId="35113026" w14:textId="77777777" w:rsidR="00FB2988" w:rsidRPr="00D15EE9" w:rsidRDefault="00FB2988" w:rsidP="009B6F6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15EE9">
              <w:rPr>
                <w:rFonts w:ascii="Corbel" w:hAnsi="Corbel"/>
                <w:sz w:val="24"/>
              </w:rPr>
              <w:t>Treści merytoryczne</w:t>
            </w:r>
          </w:p>
        </w:tc>
      </w:tr>
      <w:tr w:rsidR="00FB2988" w:rsidRPr="00D15EE9" w14:paraId="421FFC79" w14:textId="77777777" w:rsidTr="5D93EF40">
        <w:trPr>
          <w:trHeight w:val="810"/>
        </w:trPr>
        <w:tc>
          <w:tcPr>
            <w:tcW w:w="9639" w:type="dxa"/>
          </w:tcPr>
          <w:p w14:paraId="628D01FC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Zagadnienia wprowadzające. Zapoznanie z podstawową terminologią związaną z prawem Unii Europejskiej oraz wyjaśnienie podstawowych założeń przedmiotu </w:t>
            </w:r>
          </w:p>
        </w:tc>
      </w:tr>
      <w:tr w:rsidR="00FB2988" w:rsidRPr="00D15EE9" w14:paraId="47D152A0" w14:textId="77777777" w:rsidTr="5D93EF40">
        <w:trPr>
          <w:trHeight w:val="390"/>
        </w:trPr>
        <w:tc>
          <w:tcPr>
            <w:tcW w:w="9639" w:type="dxa"/>
          </w:tcPr>
          <w:p w14:paraId="4CFD314A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Zarys historii integracji europejskiej – od Traktatów rzymskich do Traktatu z Lizbony </w:t>
            </w:r>
          </w:p>
        </w:tc>
      </w:tr>
      <w:tr w:rsidR="00FB2988" w:rsidRPr="00D15EE9" w14:paraId="4E02502E" w14:textId="77777777" w:rsidTr="5D93EF40">
        <w:trPr>
          <w:trHeight w:val="450"/>
        </w:trPr>
        <w:tc>
          <w:tcPr>
            <w:tcW w:w="9639" w:type="dxa"/>
          </w:tcPr>
          <w:p w14:paraId="6F4CE7AB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Cele oraz zadania UE. Podstawy prawne funkcjonowania UE </w:t>
            </w:r>
          </w:p>
        </w:tc>
      </w:tr>
      <w:tr w:rsidR="00FB2988" w:rsidRPr="00D15EE9" w14:paraId="3C42C5C9" w14:textId="77777777" w:rsidTr="5D93EF40">
        <w:trPr>
          <w:trHeight w:val="1340"/>
        </w:trPr>
        <w:tc>
          <w:tcPr>
            <w:tcW w:w="9639" w:type="dxa"/>
          </w:tcPr>
          <w:p w14:paraId="27DFC20D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       Zakres czasowy i terytorialny obowiązywania traktatów. </w:t>
            </w:r>
          </w:p>
          <w:p w14:paraId="3785ADD3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Struktura UE po reformie lizbońskiej. Konsekwencje członkostwa państwa w UE (przystąpienie do UE, wystąpienie z UE, wykluczenie państwa z UE, teoretyczne możliwości rozwiązania UE, zawieszenie praw państwa członkowskiego w UE) </w:t>
            </w:r>
          </w:p>
        </w:tc>
      </w:tr>
      <w:tr w:rsidR="00FB2988" w:rsidRPr="00D15EE9" w14:paraId="0B677A80" w14:textId="77777777" w:rsidTr="5D93EF40">
        <w:trPr>
          <w:trHeight w:val="1077"/>
        </w:trPr>
        <w:tc>
          <w:tcPr>
            <w:tcW w:w="9639" w:type="dxa"/>
          </w:tcPr>
          <w:p w14:paraId="76373DB3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Podział na kompetencje UE i kompetencje państw członkowskich. Zasada pomocniczości i proporcjonalności oraz wartości na których opiera się Unia (art. 2 TUE) i ochrona praw podstawowych. Obywatelstwo UE. Konsekwencje naruszenia tych wartości (art. 7 TUE) </w:t>
            </w:r>
          </w:p>
        </w:tc>
      </w:tr>
      <w:tr w:rsidR="00FB2988" w:rsidRPr="00D15EE9" w14:paraId="02B26E02" w14:textId="77777777" w:rsidTr="5D93EF40">
        <w:trPr>
          <w:trHeight w:val="558"/>
        </w:trPr>
        <w:tc>
          <w:tcPr>
            <w:tcW w:w="9639" w:type="dxa"/>
          </w:tcPr>
          <w:p w14:paraId="7937442C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Wspólna Polityka Zagraniczna i Bezpieczeństwa oraz Przestrzeń Wolności, Bezpieczeństwa i Sprawiedliwości </w:t>
            </w:r>
          </w:p>
        </w:tc>
      </w:tr>
      <w:tr w:rsidR="00FB2988" w:rsidRPr="00D15EE9" w14:paraId="65B05C61" w14:textId="77777777" w:rsidTr="5D93EF40">
        <w:trPr>
          <w:trHeight w:val="675"/>
        </w:trPr>
        <w:tc>
          <w:tcPr>
            <w:tcW w:w="9639" w:type="dxa"/>
          </w:tcPr>
          <w:p w14:paraId="7B853802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Wprowadzenie do systemu instytucjonalnego UE oraz struktura tego systemu: </w:t>
            </w:r>
          </w:p>
          <w:p w14:paraId="6DAEF61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Parlament Europejski, Komisja Europejska </w:t>
            </w:r>
          </w:p>
        </w:tc>
      </w:tr>
      <w:tr w:rsidR="00FB2988" w:rsidRPr="00D15EE9" w14:paraId="00A14A3B" w14:textId="77777777" w:rsidTr="5D93EF40">
        <w:trPr>
          <w:trHeight w:val="690"/>
        </w:trPr>
        <w:tc>
          <w:tcPr>
            <w:tcW w:w="9639" w:type="dxa"/>
          </w:tcPr>
          <w:p w14:paraId="6EC7A641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Rada Europejska, Rada UE (wraz ze skrótowym przedstawieniem podstawowych priorytetów jakie stały przed Polską w ramach Prezydencji w UE w 2011 r.) </w:t>
            </w:r>
          </w:p>
        </w:tc>
      </w:tr>
      <w:tr w:rsidR="00FB2988" w:rsidRPr="00D15EE9" w14:paraId="614CBE67" w14:textId="77777777" w:rsidTr="5D93EF40">
        <w:trPr>
          <w:trHeight w:val="585"/>
        </w:trPr>
        <w:tc>
          <w:tcPr>
            <w:tcW w:w="9639" w:type="dxa"/>
          </w:tcPr>
          <w:p w14:paraId="0DF54130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Trybunał Sprawiedliwości UE (Trybunał Sprawiedliwości, Sąd, Sąd ds. Służby Publicznej jako sąd wyspecjalizowany) </w:t>
            </w:r>
          </w:p>
        </w:tc>
      </w:tr>
      <w:tr w:rsidR="00FB2988" w:rsidRPr="00D15EE9" w14:paraId="193AD6B4" w14:textId="77777777" w:rsidTr="5D93EF40">
        <w:trPr>
          <w:trHeight w:val="723"/>
        </w:trPr>
        <w:tc>
          <w:tcPr>
            <w:tcW w:w="9639" w:type="dxa"/>
          </w:tcPr>
          <w:p w14:paraId="3687CAD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Trybunał Obrachunkowy i instytucje finansowe (Europejski Bank Centralny oraz Europejski System Banków Centralnych, Europejskie Bank Inwestycyjny) </w:t>
            </w:r>
          </w:p>
        </w:tc>
      </w:tr>
      <w:tr w:rsidR="00FB2988" w:rsidRPr="00D15EE9" w14:paraId="2469D2A6" w14:textId="77777777" w:rsidTr="5D93EF40">
        <w:trPr>
          <w:trHeight w:val="420"/>
        </w:trPr>
        <w:tc>
          <w:tcPr>
            <w:tcW w:w="9639" w:type="dxa"/>
          </w:tcPr>
          <w:p w14:paraId="74F521B0" w14:textId="77777777" w:rsidR="00FB2988" w:rsidRPr="00D15EE9" w:rsidRDefault="00FB2988" w:rsidP="009B6F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sz w:val="24"/>
              </w:rPr>
              <w:t>Status prawny funkcjonariuszy UE</w:t>
            </w:r>
          </w:p>
        </w:tc>
      </w:tr>
      <w:tr w:rsidR="00FB2988" w:rsidRPr="00D15EE9" w14:paraId="6757E084" w14:textId="77777777" w:rsidTr="5D93EF40">
        <w:trPr>
          <w:trHeight w:val="1620"/>
        </w:trPr>
        <w:tc>
          <w:tcPr>
            <w:tcW w:w="9639" w:type="dxa"/>
          </w:tcPr>
          <w:p w14:paraId="3D2829CB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Źródła Prawa UE:</w:t>
            </w:r>
          </w:p>
          <w:p w14:paraId="4752EC24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Prawo pierwotne – Traktaty założycielskie, traktaty akcesyjne, traktat reformujące, ogólne zasady prawa i prawo zwyczajowe.</w:t>
            </w:r>
          </w:p>
          <w:p w14:paraId="40A6379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Prawo pochodne – akty prawodawcze i nieprawodawcze oraz akty prawa pochodnego o charakterze niewiążącym.</w:t>
            </w:r>
          </w:p>
          <w:p w14:paraId="42A5874E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Umowy międzynarodowe w systemie prawnym UE.</w:t>
            </w:r>
          </w:p>
        </w:tc>
      </w:tr>
      <w:tr w:rsidR="00FB2988" w:rsidRPr="00D15EE9" w14:paraId="1DFCF2A1" w14:textId="77777777" w:rsidTr="5D93EF40">
        <w:trPr>
          <w:trHeight w:val="540"/>
        </w:trPr>
        <w:tc>
          <w:tcPr>
            <w:tcW w:w="9639" w:type="dxa"/>
          </w:tcPr>
          <w:p w14:paraId="5094197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Tworzenie prawa w UE na przykładzie wybranego aktu prawodawczego UE (dyrektywa, rozporządzenie, dyrektywa) </w:t>
            </w:r>
          </w:p>
        </w:tc>
      </w:tr>
      <w:tr w:rsidR="00FB2988" w:rsidRPr="00D15EE9" w14:paraId="33E805CD" w14:textId="77777777" w:rsidTr="5D93EF40">
        <w:trPr>
          <w:trHeight w:val="608"/>
        </w:trPr>
        <w:tc>
          <w:tcPr>
            <w:tcW w:w="9639" w:type="dxa"/>
          </w:tcPr>
          <w:p w14:paraId="01298B21" w14:textId="77777777" w:rsidR="00FB2988" w:rsidRPr="00D15EE9" w:rsidRDefault="00FB2988" w:rsidP="009B6F63">
            <w:pPr>
              <w:shd w:val="clear" w:color="auto" w:fill="FFFFFF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Zasady stosowania prawa UE na płaszczyźnie krajowej – zasada pierwszeństwa i zasada skutku bezpośredniego 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A46FB0" w14:textId="5254D09D" w:rsidR="37EE3F97" w:rsidRDefault="37EE3F97" w:rsidP="37EE3F9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A0085F3" w14:textId="6CFAFAAB" w:rsidR="37EE3F97" w:rsidRDefault="37EE3F97" w:rsidP="37EE3F9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3938E358" w14:textId="55A5FAB8" w:rsidR="37EE3F97" w:rsidRDefault="37EE3F97" w:rsidP="37EE3F9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68BBD" w14:textId="77777777" w:rsidR="005561FE" w:rsidRPr="00D15EE9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wykład informacyjny, problemowy, metody kształcenia na odległość,</w:t>
      </w:r>
    </w:p>
    <w:p w14:paraId="662F4B62" w14:textId="77777777" w:rsidR="005561FE" w:rsidRPr="00D15EE9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ćwiczenia- analiza i interpretacja tekstów źródłowych, praca w grupach, dyskusja, metody kształcenia na odległość.</w:t>
      </w:r>
    </w:p>
    <w:p w14:paraId="70DF9E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D93EF40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CB0131D" w:rsidR="0085747A" w:rsidRPr="009C54AE" w:rsidRDefault="00A84C85" w:rsidP="5D93EF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93EF4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EFFCEF3" w:rsidRPr="5D93EF4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10AEA" w:rsidRPr="009C54AE" w14:paraId="23083FEC" w14:textId="77777777" w:rsidTr="5D93EF40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76466B44" w14:textId="77777777" w:rsidR="00410AEA" w:rsidRPr="009C54AE" w:rsidRDefault="00FB2988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</w:t>
            </w:r>
            <w:r w:rsidR="005561FE"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2F7CC7D9" w14:textId="77777777" w:rsidR="00410AE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410AEA"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FB2988" w:rsidRPr="009C54AE" w14:paraId="0C88C68C" w14:textId="77777777" w:rsidTr="5D93EF40">
        <w:tc>
          <w:tcPr>
            <w:tcW w:w="1985" w:type="dxa"/>
          </w:tcPr>
          <w:p w14:paraId="727CF0E4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CA2C41E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5C0EA831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ćw,</w:t>
            </w:r>
          </w:p>
        </w:tc>
      </w:tr>
      <w:tr w:rsidR="00FB2988" w:rsidRPr="009C54AE" w14:paraId="2577B9B3" w14:textId="77777777" w:rsidTr="5D93EF40">
        <w:tc>
          <w:tcPr>
            <w:tcW w:w="1985" w:type="dxa"/>
          </w:tcPr>
          <w:p w14:paraId="002D746F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BF76012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3BFA0216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ćw,</w:t>
            </w:r>
          </w:p>
        </w:tc>
      </w:tr>
      <w:tr w:rsidR="00FB2988" w:rsidRPr="009C54AE" w14:paraId="59249746" w14:textId="77777777" w:rsidTr="5D93EF40">
        <w:tc>
          <w:tcPr>
            <w:tcW w:w="1985" w:type="dxa"/>
          </w:tcPr>
          <w:p w14:paraId="3A04FA72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A390B85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06DF7F04" w14:textId="77777777" w:rsidR="00FB2988" w:rsidRPr="009C54AE" w:rsidRDefault="009C5AAD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FB2988"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FB2988" w:rsidRPr="009C54AE" w14:paraId="78CED9F8" w14:textId="77777777" w:rsidTr="5D93EF40">
        <w:tc>
          <w:tcPr>
            <w:tcW w:w="1985" w:type="dxa"/>
          </w:tcPr>
          <w:p w14:paraId="4A2F1096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6F62431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4A59B91B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ćw,</w:t>
            </w:r>
          </w:p>
        </w:tc>
      </w:tr>
      <w:tr w:rsidR="00FB2988" w:rsidRPr="009C54AE" w14:paraId="6476062C" w14:textId="77777777" w:rsidTr="5D93EF40">
        <w:tc>
          <w:tcPr>
            <w:tcW w:w="1985" w:type="dxa"/>
          </w:tcPr>
          <w:p w14:paraId="1E73F495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E0D1DDB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16DE7960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ćw,</w:t>
            </w:r>
          </w:p>
        </w:tc>
      </w:tr>
    </w:tbl>
    <w:p w14:paraId="3B7B4B8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182907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5EE9" w14:paraId="1FE39CCB" w14:textId="77777777" w:rsidTr="5D93EF40">
        <w:tc>
          <w:tcPr>
            <w:tcW w:w="9670" w:type="dxa"/>
          </w:tcPr>
          <w:p w14:paraId="25A57C13" w14:textId="77777777" w:rsidR="005561FE" w:rsidRPr="00D15EE9" w:rsidRDefault="005561FE" w:rsidP="005561F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b/>
                <w:sz w:val="24"/>
              </w:rPr>
              <w:t>Wykład</w:t>
            </w:r>
            <w:r w:rsidRPr="00D15EE9">
              <w:rPr>
                <w:rFonts w:ascii="Corbel" w:eastAsia="Cambria" w:hAnsi="Corbel"/>
                <w:sz w:val="24"/>
              </w:rPr>
              <w:t xml:space="preserve"> – egzamin - test wielkokrotnego wyboru obejmujący 20 pytań. Warunkiem uzyskania oceny pozytywnej jest zdobycie co najmniej 11 punktów. Na rozwiązanie testu student ma 20 minut.</w:t>
            </w:r>
          </w:p>
          <w:p w14:paraId="2BA226A1" w14:textId="77777777" w:rsidR="005561FE" w:rsidRPr="00D15EE9" w:rsidRDefault="005561FE" w:rsidP="005561F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0DE4B5B7" w14:textId="0CFCA228" w:rsidR="0085747A" w:rsidRPr="00D15EE9" w:rsidRDefault="005561FE" w:rsidP="5D93EF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eastAsia="Cambria" w:hAnsi="Corbel"/>
                <w:smallCaps w:val="0"/>
              </w:rPr>
              <w:t xml:space="preserve">Ćwiczenia </w:t>
            </w:r>
            <w:r w:rsidRPr="5D93EF40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1F100337" w:rsidRPr="5D93EF40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Pr="5D93EF40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1F100337" w:rsidRPr="5D93EF40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66204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BF0D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1661FB5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1661FB5D">
        <w:tc>
          <w:tcPr>
            <w:tcW w:w="4962" w:type="dxa"/>
          </w:tcPr>
          <w:p w14:paraId="1AB692D5" w14:textId="77777777" w:rsidR="0085747A" w:rsidRPr="009C54AE" w:rsidRDefault="00C61DC5" w:rsidP="1661FB5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661FB5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1661FB5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1661FB5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1661FB5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3FD9E262" w:rsidRPr="1661FB5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661FB5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3FD9E262" w:rsidRPr="1661FB5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7F8635CF" w:rsidP="1661FB5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661FB5D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005561FE" w:rsidRPr="1661FB5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1661FB5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574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1D06470" w14:textId="77777777" w:rsidTr="1661FB5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6DE38F6" w14:textId="77777777" w:rsidR="00C61DC5" w:rsidRPr="009C54AE" w:rsidRDefault="00F574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6308A452" w14:textId="77777777" w:rsidTr="1661FB5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9C54AE" w:rsidRDefault="009C5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5CA6A37" w14:textId="77777777" w:rsidTr="1661FB5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2F1B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D93EF40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A4E5D" w14:textId="7C70B3C8" w:rsidR="0085747A" w:rsidRPr="009C54AE" w:rsidRDefault="091D6AB1" w:rsidP="5D93EF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D93EF4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D93EF40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219836" w14:textId="2B9F27A9" w:rsidR="0085747A" w:rsidRPr="009C54AE" w:rsidRDefault="74764876" w:rsidP="5D93EF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96FEF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194DBD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1FE" w:rsidRPr="00554D1E" w14:paraId="151C118D" w14:textId="77777777" w:rsidTr="5D93EF40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5561FE" w:rsidRP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AA0A3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Wyrozumska,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Kenig-Witkowska, A. Łazowski, R. Ostrihansky,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Ahlt, M. Szpunar,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6E89F3E2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Cini, Unia Europejska. Organizacja i funkcjonowanie,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0225DE6B" w14:textId="77777777" w:rsidR="005561FE" w:rsidRPr="005561FE" w:rsidRDefault="005561FE" w:rsidP="005561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769D0D3C" w14:textId="77777777" w:rsidR="005561FE" w:rsidRPr="005561FE" w:rsidRDefault="005561FE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53774E2C" w14:textId="77777777" w:rsidTr="5D93EF40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5D93EF4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5D93EF4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4A697F9" w14:textId="5A58E89B" w:rsidR="005561FE" w:rsidRPr="005561FE" w:rsidRDefault="005561FE" w:rsidP="5D93EF40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P. K. Rosiak, M.</w:t>
            </w:r>
            <w:r w:rsidR="415BB97E" w:rsidRPr="5D93EF40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D93EF40">
              <w:rPr>
                <w:rFonts w:ascii="Corbel" w:hAnsi="Corbel"/>
                <w:b w:val="0"/>
                <w:smallCaps w:val="0"/>
              </w:rPr>
              <w:t xml:space="preserve">Szpunar, Postępowanie przed Trybunałem </w:t>
            </w:r>
            <w:r w:rsidR="4E802D6F" w:rsidRPr="5D93EF40">
              <w:rPr>
                <w:rFonts w:ascii="Corbel" w:hAnsi="Corbel"/>
                <w:b w:val="0"/>
                <w:smallCaps w:val="0"/>
              </w:rPr>
              <w:t>S</w:t>
            </w:r>
            <w:r w:rsidRPr="5D93EF40">
              <w:rPr>
                <w:rFonts w:ascii="Corbel" w:hAnsi="Corbel"/>
                <w:b w:val="0"/>
                <w:smallCaps w:val="0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D. Kornobis-Romanowska, Sąd krajowy w prawie wspólnotowym, Kraków 2007,</w:t>
            </w:r>
          </w:p>
          <w:p w14:paraId="3D93377F" w14:textId="77777777" w:rsidR="00EA2DA1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W. Czapliński i inni, Prawo Wspólnot Europejskich. Orzecznictwo. Wydanie nowe z Suplementem, Warszawa 2006.</w:t>
            </w:r>
          </w:p>
          <w:p w14:paraId="54CD245A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31BE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EB5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A184" w14:textId="77777777" w:rsidR="00B22C29" w:rsidRDefault="00B22C29" w:rsidP="00C16ABF">
      <w:pPr>
        <w:spacing w:after="0" w:line="240" w:lineRule="auto"/>
      </w:pPr>
      <w:r>
        <w:separator/>
      </w:r>
    </w:p>
  </w:endnote>
  <w:endnote w:type="continuationSeparator" w:id="0">
    <w:p w14:paraId="494D46A7" w14:textId="77777777" w:rsidR="00B22C29" w:rsidRDefault="00B22C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20460" w14:textId="77777777" w:rsidR="00B22C29" w:rsidRDefault="00B22C29" w:rsidP="00C16ABF">
      <w:pPr>
        <w:spacing w:after="0" w:line="240" w:lineRule="auto"/>
      </w:pPr>
      <w:r>
        <w:separator/>
      </w:r>
    </w:p>
  </w:footnote>
  <w:footnote w:type="continuationSeparator" w:id="0">
    <w:p w14:paraId="1B00C78F" w14:textId="77777777" w:rsidR="00B22C29" w:rsidRDefault="00B22C2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44706">
    <w:abstractNumId w:val="1"/>
  </w:num>
  <w:num w:numId="2" w16cid:durableId="1144617524">
    <w:abstractNumId w:val="3"/>
  </w:num>
  <w:num w:numId="3" w16cid:durableId="1409225343">
    <w:abstractNumId w:val="2"/>
  </w:num>
  <w:num w:numId="4" w16cid:durableId="5038602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4BE8"/>
    <w:rsid w:val="0022477D"/>
    <w:rsid w:val="002278A9"/>
    <w:rsid w:val="002336F9"/>
    <w:rsid w:val="0024028F"/>
    <w:rsid w:val="00240D48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378"/>
    <w:rsid w:val="003F38C0"/>
    <w:rsid w:val="00410AEA"/>
    <w:rsid w:val="00414E3C"/>
    <w:rsid w:val="0041795A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55A3"/>
    <w:rsid w:val="004F7556"/>
    <w:rsid w:val="0050496F"/>
    <w:rsid w:val="00513B6F"/>
    <w:rsid w:val="00517C63"/>
    <w:rsid w:val="005363C4"/>
    <w:rsid w:val="00536BDE"/>
    <w:rsid w:val="00543ACC"/>
    <w:rsid w:val="005561F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66EF"/>
    <w:rsid w:val="008C0CC0"/>
    <w:rsid w:val="008C19A9"/>
    <w:rsid w:val="008C379D"/>
    <w:rsid w:val="008C5114"/>
    <w:rsid w:val="008C5147"/>
    <w:rsid w:val="008C5359"/>
    <w:rsid w:val="008C5363"/>
    <w:rsid w:val="008D3DFB"/>
    <w:rsid w:val="008E64F4"/>
    <w:rsid w:val="008F12C9"/>
    <w:rsid w:val="008F6E29"/>
    <w:rsid w:val="00901217"/>
    <w:rsid w:val="00916188"/>
    <w:rsid w:val="00923D7D"/>
    <w:rsid w:val="009508DF"/>
    <w:rsid w:val="00950DAC"/>
    <w:rsid w:val="00954A07"/>
    <w:rsid w:val="00965CB5"/>
    <w:rsid w:val="00997F14"/>
    <w:rsid w:val="009A78D9"/>
    <w:rsid w:val="009B6F63"/>
    <w:rsid w:val="009C1331"/>
    <w:rsid w:val="009C3E31"/>
    <w:rsid w:val="009C54AE"/>
    <w:rsid w:val="009C5AAD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12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C29"/>
    <w:rsid w:val="00B2602D"/>
    <w:rsid w:val="00B3130B"/>
    <w:rsid w:val="00B35F4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27B41"/>
    <w:rsid w:val="00C324C1"/>
    <w:rsid w:val="00C357D0"/>
    <w:rsid w:val="00C36992"/>
    <w:rsid w:val="00C56036"/>
    <w:rsid w:val="00C61DC5"/>
    <w:rsid w:val="00C67E92"/>
    <w:rsid w:val="00C70A26"/>
    <w:rsid w:val="00C766DF"/>
    <w:rsid w:val="00C849F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EE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4A7"/>
    <w:rsid w:val="00F617C3"/>
    <w:rsid w:val="00F7066B"/>
    <w:rsid w:val="00F83B28"/>
    <w:rsid w:val="00FA46E5"/>
    <w:rsid w:val="00FB2988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91D6AB1"/>
    <w:rsid w:val="0BF0A5B9"/>
    <w:rsid w:val="0CB9C90A"/>
    <w:rsid w:val="0EFFCEF3"/>
    <w:rsid w:val="11D8256B"/>
    <w:rsid w:val="1661FB5D"/>
    <w:rsid w:val="19E89A1C"/>
    <w:rsid w:val="1DA7603C"/>
    <w:rsid w:val="1F100337"/>
    <w:rsid w:val="1F43309D"/>
    <w:rsid w:val="227DF88D"/>
    <w:rsid w:val="27E484C7"/>
    <w:rsid w:val="2A16B570"/>
    <w:rsid w:val="37EE3F97"/>
    <w:rsid w:val="39C46B6D"/>
    <w:rsid w:val="3A8ACC37"/>
    <w:rsid w:val="3FD9E262"/>
    <w:rsid w:val="415BB97E"/>
    <w:rsid w:val="4752035C"/>
    <w:rsid w:val="47F57A7D"/>
    <w:rsid w:val="49F2BB75"/>
    <w:rsid w:val="4A0B50CE"/>
    <w:rsid w:val="4E802D6F"/>
    <w:rsid w:val="53678BE6"/>
    <w:rsid w:val="5D30A5F0"/>
    <w:rsid w:val="5D93EF40"/>
    <w:rsid w:val="6022D394"/>
    <w:rsid w:val="62CE8A71"/>
    <w:rsid w:val="62F4B2D8"/>
    <w:rsid w:val="694D8E86"/>
    <w:rsid w:val="699530E2"/>
    <w:rsid w:val="6AE95EE7"/>
    <w:rsid w:val="74764876"/>
    <w:rsid w:val="7F8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A312"/>
  <w15:docId w15:val="{A8D01FB0-8693-40D4-AAD6-55A64C83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A8B30-BA2C-4C07-BC9B-CD4AA38E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1765</Words>
  <Characters>10596</Characters>
  <Application>Microsoft Office Word</Application>
  <DocSecurity>0</DocSecurity>
  <Lines>88</Lines>
  <Paragraphs>24</Paragraphs>
  <ScaleCrop>false</ScaleCrop>
  <Company>Hewlett-Packard Company</Company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14</cp:revision>
  <cp:lastPrinted>2019-02-06T22:12:00Z</cp:lastPrinted>
  <dcterms:created xsi:type="dcterms:W3CDTF">2021-12-14T14:08:00Z</dcterms:created>
  <dcterms:modified xsi:type="dcterms:W3CDTF">2024-01-17T07:17:00Z</dcterms:modified>
</cp:coreProperties>
</file>